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3C" w:rsidRPr="00EA7D9A" w:rsidRDefault="000A653C" w:rsidP="000A653C">
      <w:pPr>
        <w:pStyle w:val="1"/>
        <w:rPr>
          <w:rFonts w:ascii="Arial Narrow" w:hAnsi="Arial Narrow"/>
          <w:lang w:val="en-US"/>
        </w:rPr>
      </w:pPr>
      <w:bookmarkStart w:id="0" w:name="_Toc28083802"/>
      <w:bookmarkStart w:id="1" w:name="_GoBack"/>
      <w:bookmarkEnd w:id="1"/>
      <w:r w:rsidRPr="00EA7D9A">
        <w:rPr>
          <w:rFonts w:ascii="Arial Narrow" w:hAnsi="Arial Narrow"/>
          <w:lang w:val="en-US"/>
        </w:rPr>
        <w:t>Annex D: Project Monitoring Plan</w:t>
      </w:r>
      <w:bookmarkEnd w:id="0"/>
    </w:p>
    <w:p w:rsidR="000A653C" w:rsidRPr="00EA7D9A" w:rsidRDefault="000A653C" w:rsidP="000A653C">
      <w:pPr>
        <w:pStyle w:val="2"/>
        <w:jc w:val="both"/>
        <w:rPr>
          <w:rFonts w:ascii="Arial Narrow" w:hAnsi="Arial Narrow"/>
          <w:lang w:val="en-US"/>
        </w:rPr>
      </w:pPr>
      <w:bookmarkStart w:id="2" w:name="_bhibif5i297e" w:colFirst="0" w:colLast="0"/>
      <w:bookmarkStart w:id="3" w:name="_Toc28083803"/>
      <w:bookmarkEnd w:id="2"/>
      <w:r w:rsidRPr="00EA7D9A">
        <w:rPr>
          <w:rFonts w:ascii="Arial Narrow" w:hAnsi="Arial Narrow"/>
          <w:lang w:val="en-US"/>
        </w:rPr>
        <w:t>1. Purpose of this plan</w:t>
      </w:r>
      <w:bookmarkEnd w:id="3"/>
    </w:p>
    <w:p w:rsidR="000A653C" w:rsidRPr="00EA7D9A" w:rsidRDefault="000A653C" w:rsidP="000A653C">
      <w:pPr>
        <w:spacing w:before="240" w:after="240"/>
        <w:jc w:val="both"/>
        <w:rPr>
          <w:rFonts w:ascii="Arial Narrow" w:hAnsi="Arial Narrow"/>
          <w:highlight w:val="red"/>
          <w:lang w:val="en-US"/>
        </w:rPr>
      </w:pPr>
      <w:r w:rsidRPr="00EA7D9A">
        <w:rPr>
          <w:rFonts w:ascii="Arial Narrow" w:hAnsi="Arial Narrow"/>
          <w:lang w:val="en-US"/>
        </w:rPr>
        <w:t xml:space="preserve">This monitoring and evaluation plan is meant to guide the 100%Life through the Project implementation process. The plan is thus meant to be an internal tool to measure the progress of the Project towards its intended goal and objective. </w:t>
      </w:r>
    </w:p>
    <w:p w:rsidR="000A653C" w:rsidRPr="00EA7D9A" w:rsidRDefault="000A653C" w:rsidP="000A653C">
      <w:pPr>
        <w:pStyle w:val="2"/>
        <w:jc w:val="both"/>
        <w:rPr>
          <w:rFonts w:ascii="Arial Narrow" w:hAnsi="Arial Narrow"/>
          <w:lang w:val="en-US"/>
        </w:rPr>
      </w:pPr>
      <w:bookmarkStart w:id="4" w:name="_8t2gnt6tqzcj" w:colFirst="0" w:colLast="0"/>
      <w:bookmarkStart w:id="5" w:name="_Toc28083804"/>
      <w:bookmarkEnd w:id="4"/>
      <w:r w:rsidRPr="00EA7D9A">
        <w:rPr>
          <w:rFonts w:ascii="Arial Narrow" w:hAnsi="Arial Narrow"/>
          <w:lang w:val="en-US"/>
        </w:rPr>
        <w:t>2. Passports of Indicators</w:t>
      </w:r>
      <w:bookmarkEnd w:id="5"/>
    </w:p>
    <w:p w:rsidR="000A653C" w:rsidRPr="00EA7D9A" w:rsidRDefault="000A653C" w:rsidP="000A653C">
      <w:pPr>
        <w:jc w:val="both"/>
        <w:rPr>
          <w:rFonts w:ascii="Arial Narrow" w:hAnsi="Arial Narrow"/>
          <w:lang w:val="en-US"/>
        </w:rPr>
      </w:pPr>
      <w:r w:rsidRPr="00EA7D9A">
        <w:rPr>
          <w:rFonts w:ascii="Arial Narrow" w:hAnsi="Arial Narrow"/>
          <w:lang w:val="en-US"/>
        </w:rPr>
        <w:t>In total, two outcome indicators are proposed for measuring the progress under the Grant:</w:t>
      </w:r>
    </w:p>
    <w:p w:rsidR="000A653C" w:rsidRPr="00EA7D9A" w:rsidRDefault="000A653C" w:rsidP="000A653C">
      <w:pPr>
        <w:rPr>
          <w:rFonts w:ascii="Arial Narrow" w:hAnsi="Arial Narrow"/>
          <w:lang w:val="en-US"/>
        </w:rPr>
      </w:pPr>
    </w:p>
    <w:tbl>
      <w:tblPr>
        <w:tblW w:w="8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6480"/>
      </w:tblGrid>
      <w:tr w:rsidR="000A653C" w:rsidRPr="00EA7D9A" w:rsidTr="005F0F61">
        <w:trPr>
          <w:trHeight w:val="78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b/>
                <w:sz w:val="20"/>
                <w:szCs w:val="20"/>
                <w:lang w:val="en-US"/>
              </w:rPr>
              <w:t>Indicator (1)</w:t>
            </w:r>
          </w:p>
        </w:tc>
        <w:tc>
          <w:tcPr>
            <w:tcW w:w="6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b/>
                <w:sz w:val="20"/>
                <w:szCs w:val="20"/>
                <w:lang w:val="en-US"/>
              </w:rPr>
              <w:t>Absolute increase in national funding for HIV activities targeting KPs from the national budgets</w:t>
            </w:r>
          </w:p>
        </w:tc>
      </w:tr>
      <w:tr w:rsidR="000A653C" w:rsidRPr="00EA7D9A" w:rsidTr="005F0F61">
        <w:trPr>
          <w:trHeight w:val="89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b/>
                <w:sz w:val="20"/>
                <w:szCs w:val="20"/>
                <w:lang w:val="en-US"/>
              </w:rPr>
              <w:t>Rationale/Purpose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sz w:val="20"/>
                <w:szCs w:val="20"/>
                <w:lang w:val="en-US"/>
              </w:rPr>
              <w:t>The purpose of this indicator is to measure the overall planned in funding for HIV activities targeting KPs from the national budgets</w:t>
            </w:r>
          </w:p>
        </w:tc>
      </w:tr>
      <w:tr w:rsidR="000A653C" w:rsidRPr="00EA7D9A" w:rsidTr="005F0F61">
        <w:trPr>
          <w:trHeight w:val="71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b/>
                <w:sz w:val="20"/>
                <w:szCs w:val="20"/>
                <w:lang w:val="en-US"/>
              </w:rPr>
              <w:t>Data collection frequency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sz w:val="20"/>
                <w:szCs w:val="20"/>
                <w:lang w:val="en-US"/>
              </w:rPr>
              <w:t>Annually</w:t>
            </w:r>
          </w:p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sz w:val="20"/>
                <w:szCs w:val="20"/>
                <w:lang w:val="en-US"/>
              </w:rPr>
              <w:t>Shall be conducted in Q3-Q4</w:t>
            </w:r>
          </w:p>
        </w:tc>
      </w:tr>
      <w:tr w:rsidR="000A653C" w:rsidRPr="00EA7D9A" w:rsidTr="005F0F61">
        <w:trPr>
          <w:trHeight w:val="92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b/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sz w:val="20"/>
                <w:szCs w:val="20"/>
                <w:lang w:val="en-US"/>
              </w:rPr>
              <w:t>Shall be established during Situational assessment on budget allocations (</w:t>
            </w:r>
            <w:r w:rsidRPr="00EA7D9A">
              <w:rPr>
                <w:rFonts w:ascii="Arial Narrow" w:hAnsi="Arial Narrow"/>
                <w:i/>
                <w:sz w:val="20"/>
                <w:szCs w:val="20"/>
                <w:lang w:val="en-US"/>
              </w:rPr>
              <w:t>see clause 1.3 Track 3)</w:t>
            </w:r>
            <w:r w:rsidRPr="00EA7D9A">
              <w:rPr>
                <w:rFonts w:ascii="Arial Narrow" w:hAnsi="Arial Narrow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EA7D9A">
              <w:rPr>
                <w:rFonts w:ascii="Arial Narrow" w:hAnsi="Arial Narrow"/>
                <w:sz w:val="20"/>
                <w:szCs w:val="20"/>
                <w:lang w:val="en-US"/>
              </w:rPr>
              <w:t>for 2020</w:t>
            </w:r>
          </w:p>
        </w:tc>
      </w:tr>
      <w:tr w:rsidR="000A653C" w:rsidRPr="00EA7D9A" w:rsidTr="005F0F61">
        <w:trPr>
          <w:trHeight w:val="71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b/>
                <w:sz w:val="20"/>
                <w:szCs w:val="20"/>
                <w:lang w:val="en-US"/>
              </w:rPr>
              <w:t>Target Year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sz w:val="20"/>
                <w:szCs w:val="20"/>
                <w:lang w:val="en-US"/>
              </w:rPr>
              <w:t>$3 850 000</w:t>
            </w:r>
          </w:p>
        </w:tc>
      </w:tr>
      <w:tr w:rsidR="000A653C" w:rsidRPr="00EA7D9A" w:rsidTr="005F0F61">
        <w:trPr>
          <w:trHeight w:val="575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b/>
                <w:sz w:val="20"/>
                <w:szCs w:val="20"/>
                <w:lang w:val="en-US"/>
              </w:rPr>
              <w:t>Measurement Tool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sz w:val="20"/>
                <w:szCs w:val="20"/>
                <w:lang w:val="en-US"/>
              </w:rPr>
              <w:t>National budgets on HIV/AIDS</w:t>
            </w:r>
          </w:p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sz w:val="20"/>
                <w:szCs w:val="20"/>
                <w:lang w:val="en-US"/>
              </w:rPr>
              <w:t>Health insurance Funds</w:t>
            </w:r>
          </w:p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sz w:val="20"/>
                <w:szCs w:val="20"/>
                <w:lang w:val="en-US"/>
              </w:rPr>
              <w:t>Global AIDS Response Progress Reporting</w:t>
            </w:r>
          </w:p>
        </w:tc>
      </w:tr>
      <w:tr w:rsidR="000A653C" w:rsidRPr="00EA7D9A" w:rsidTr="005F0F61">
        <w:trPr>
          <w:trHeight w:val="890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b/>
                <w:sz w:val="20"/>
                <w:szCs w:val="20"/>
                <w:lang w:val="en-US"/>
              </w:rPr>
              <w:t>Method of measurement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sz w:val="20"/>
                <w:szCs w:val="20"/>
                <w:lang w:val="en-US"/>
              </w:rPr>
              <w:t>The difference in planned annual national expenditures for HIV activities targeting KPs in comparison with the previous year (absolute value)</w:t>
            </w:r>
          </w:p>
        </w:tc>
      </w:tr>
      <w:tr w:rsidR="000A653C" w:rsidRPr="00EA7D9A" w:rsidTr="005F0F61">
        <w:trPr>
          <w:trHeight w:val="1035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b/>
                <w:sz w:val="20"/>
                <w:szCs w:val="20"/>
                <w:lang w:val="en-US"/>
              </w:rPr>
              <w:lastRenderedPageBreak/>
              <w:t>Tool</w:t>
            </w:r>
            <w:r w:rsidRPr="00EA7D9A">
              <w:rPr>
                <w:rFonts w:ascii="Arial Narrow" w:hAnsi="Arial Narrow"/>
                <w:b/>
                <w:sz w:val="20"/>
                <w:szCs w:val="20"/>
                <w:lang w:val="en-US"/>
              </w:rPr>
              <w:tab/>
              <w:t>Desk review and in-depth interview guide</w:t>
            </w:r>
          </w:p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sz w:val="20"/>
                <w:szCs w:val="20"/>
                <w:lang w:val="en-US"/>
              </w:rPr>
              <w:t>Desk review and in-depth interview guide</w:t>
            </w:r>
          </w:p>
        </w:tc>
      </w:tr>
      <w:tr w:rsidR="000A653C" w:rsidRPr="00EA7D9A" w:rsidTr="005F0F61">
        <w:trPr>
          <w:trHeight w:val="2045"/>
        </w:trPr>
        <w:tc>
          <w:tcPr>
            <w:tcW w:w="23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b/>
                <w:sz w:val="20"/>
                <w:szCs w:val="20"/>
                <w:lang w:val="en-US"/>
              </w:rPr>
              <w:t>Interpretation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sz w:val="20"/>
                <w:szCs w:val="20"/>
                <w:lang w:val="en-US"/>
              </w:rPr>
              <w:t xml:space="preserve">The target for this indicator reflects the total increase in planned national funding for HIV activities targeting KPs in  project countries from 2020 level </w:t>
            </w:r>
          </w:p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sz w:val="20"/>
                <w:szCs w:val="20"/>
                <w:lang w:val="en-US"/>
              </w:rPr>
              <w:t>Country level indicator (Russia, Belarus, Kazakhstan, Uzbekistan, Moldova, Kyrgyzstan, Georgia, Tajikistan)</w:t>
            </w:r>
          </w:p>
        </w:tc>
      </w:tr>
    </w:tbl>
    <w:p w:rsidR="000A653C" w:rsidRPr="00EA7D9A" w:rsidRDefault="000A653C" w:rsidP="000A653C">
      <w:pPr>
        <w:spacing w:before="240" w:after="240" w:line="240" w:lineRule="auto"/>
        <w:rPr>
          <w:rFonts w:ascii="Arial Narrow" w:hAnsi="Arial Narrow"/>
          <w:b/>
          <w:lang w:val="en-US"/>
        </w:rPr>
      </w:pPr>
      <w:r w:rsidRPr="00EA7D9A">
        <w:rPr>
          <w:rFonts w:ascii="Arial Narrow" w:hAnsi="Arial Narrow"/>
          <w:b/>
          <w:lang w:val="en-US"/>
        </w:rPr>
        <w:t xml:space="preserve"> </w:t>
      </w:r>
    </w:p>
    <w:p w:rsidR="000A653C" w:rsidRPr="00EA7D9A" w:rsidRDefault="000A653C" w:rsidP="000A653C">
      <w:pPr>
        <w:rPr>
          <w:rFonts w:ascii="Arial Narrow" w:hAnsi="Arial Narrow"/>
          <w:lang w:val="en-US"/>
        </w:rPr>
      </w:pPr>
    </w:p>
    <w:tbl>
      <w:tblPr>
        <w:tblW w:w="8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390"/>
      </w:tblGrid>
      <w:tr w:rsidR="000A653C" w:rsidRPr="00EA7D9A" w:rsidTr="005F0F61">
        <w:trPr>
          <w:trHeight w:val="78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Indicator (2) </w:t>
            </w:r>
          </w:p>
        </w:tc>
        <w:tc>
          <w:tcPr>
            <w:tcW w:w="63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jc w:val="both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b/>
                <w:sz w:val="20"/>
                <w:szCs w:val="20"/>
                <w:lang w:val="en-US"/>
              </w:rPr>
              <w:t>State procurement mechanisms to ensure that the state is able to procure KP-related services from NGOs during/after the transition from GF-supported services are developed/ updated and exist</w:t>
            </w:r>
          </w:p>
        </w:tc>
      </w:tr>
      <w:tr w:rsidR="000A653C" w:rsidRPr="00EA7D9A" w:rsidTr="005F0F61">
        <w:trPr>
          <w:trHeight w:val="8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b/>
                <w:sz w:val="20"/>
                <w:szCs w:val="20"/>
                <w:lang w:val="en-US"/>
              </w:rPr>
              <w:t>Rationale/Purpose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sz w:val="20"/>
                <w:szCs w:val="20"/>
                <w:lang w:val="en-US"/>
              </w:rPr>
              <w:t>To ensure that the state is able to procure KP-related services from NGOs during / after transition from GF-supported services</w:t>
            </w:r>
          </w:p>
        </w:tc>
      </w:tr>
      <w:tr w:rsidR="000A653C" w:rsidRPr="00EA7D9A" w:rsidTr="005F0F61">
        <w:trPr>
          <w:trHeight w:val="71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b/>
                <w:sz w:val="20"/>
                <w:szCs w:val="20"/>
                <w:lang w:val="en-US"/>
              </w:rPr>
              <w:t>Data collection frequency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sz w:val="20"/>
                <w:szCs w:val="20"/>
                <w:lang w:val="en-US"/>
              </w:rPr>
              <w:t>Quarterly</w:t>
            </w:r>
          </w:p>
        </w:tc>
      </w:tr>
      <w:tr w:rsidR="000A653C" w:rsidRPr="00EA7D9A" w:rsidTr="005F0F61">
        <w:trPr>
          <w:trHeight w:val="9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b/>
                <w:sz w:val="20"/>
                <w:szCs w:val="20"/>
                <w:lang w:val="en-US"/>
              </w:rPr>
              <w:t>Baseline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sz w:val="20"/>
                <w:szCs w:val="20"/>
                <w:lang w:val="en-US"/>
              </w:rPr>
              <w:t>Shall be established during Situational assessment on budget allocations (</w:t>
            </w:r>
            <w:r w:rsidRPr="00EA7D9A">
              <w:rPr>
                <w:rFonts w:ascii="Arial Narrow" w:hAnsi="Arial Narrow"/>
                <w:i/>
                <w:sz w:val="20"/>
                <w:szCs w:val="20"/>
                <w:lang w:val="en-US"/>
              </w:rPr>
              <w:t>see clause 1.3 Track 3</w:t>
            </w:r>
            <w:r w:rsidRPr="00EA7D9A">
              <w:rPr>
                <w:rFonts w:ascii="Arial Narrow" w:hAnsi="Arial Narrow"/>
                <w:sz w:val="20"/>
                <w:szCs w:val="20"/>
                <w:lang w:val="en-US"/>
              </w:rPr>
              <w:t xml:space="preserve">) for 2020 </w:t>
            </w:r>
          </w:p>
        </w:tc>
      </w:tr>
      <w:tr w:rsidR="000A653C" w:rsidRPr="00EA7D9A" w:rsidTr="005F0F61">
        <w:trPr>
          <w:trHeight w:val="71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b/>
                <w:sz w:val="20"/>
                <w:szCs w:val="20"/>
                <w:lang w:val="en-US"/>
              </w:rPr>
              <w:t>Target Year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sz w:val="20"/>
                <w:szCs w:val="20"/>
                <w:lang w:val="en-US"/>
              </w:rPr>
              <w:t>Development/adaption  of state procurement mechanisms has started and been completed for those countries that previously did not have functional mechanisms</w:t>
            </w:r>
          </w:p>
        </w:tc>
      </w:tr>
      <w:tr w:rsidR="000A653C" w:rsidRPr="00EA7D9A" w:rsidTr="005F0F61">
        <w:trPr>
          <w:trHeight w:val="575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b/>
                <w:sz w:val="20"/>
                <w:szCs w:val="20"/>
                <w:lang w:val="en-US"/>
              </w:rPr>
              <w:t>Measurement Tool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sz w:val="20"/>
                <w:szCs w:val="20"/>
                <w:lang w:val="en-US"/>
              </w:rPr>
              <w:t>Policies include the mechanisms of state procurement of prevention, care and support services from NGOs</w:t>
            </w:r>
          </w:p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sz w:val="20"/>
                <w:szCs w:val="20"/>
                <w:lang w:val="en-US"/>
              </w:rPr>
              <w:t>At least one state procurement has been started / conducted according to them</w:t>
            </w:r>
          </w:p>
        </w:tc>
      </w:tr>
      <w:tr w:rsidR="000A653C" w:rsidRPr="00EA7D9A" w:rsidTr="005F0F61">
        <w:trPr>
          <w:trHeight w:val="8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b/>
                <w:sz w:val="20"/>
                <w:szCs w:val="20"/>
                <w:lang w:val="en-US"/>
              </w:rPr>
              <w:t>Method of measurement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sz w:val="20"/>
                <w:szCs w:val="20"/>
                <w:lang w:val="en-US"/>
              </w:rPr>
              <w:t xml:space="preserve">Availability of newly created and accepted regulations </w:t>
            </w:r>
          </w:p>
        </w:tc>
      </w:tr>
      <w:tr w:rsidR="000A653C" w:rsidRPr="00EA7D9A" w:rsidTr="005F0F61">
        <w:trPr>
          <w:trHeight w:val="99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b/>
                <w:sz w:val="20"/>
                <w:szCs w:val="20"/>
                <w:lang w:val="en-US"/>
              </w:rPr>
              <w:t>Tool</w:t>
            </w:r>
            <w:r w:rsidRPr="00EA7D9A">
              <w:rPr>
                <w:rFonts w:ascii="Arial Narrow" w:hAnsi="Arial Narrow"/>
                <w:b/>
                <w:sz w:val="20"/>
                <w:szCs w:val="20"/>
                <w:lang w:val="en-US"/>
              </w:rPr>
              <w:tab/>
              <w:t>Desk review and in-depth interview guide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sz w:val="20"/>
                <w:szCs w:val="20"/>
                <w:lang w:val="en-US"/>
              </w:rPr>
              <w:t>Desk review and in-depth interview guide</w:t>
            </w:r>
          </w:p>
        </w:tc>
      </w:tr>
      <w:tr w:rsidR="000A653C" w:rsidRPr="00EA7D9A" w:rsidTr="005F0F61">
        <w:trPr>
          <w:trHeight w:val="8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b/>
                <w:sz w:val="20"/>
                <w:szCs w:val="20"/>
                <w:lang w:val="en-US"/>
              </w:rPr>
              <w:lastRenderedPageBreak/>
              <w:t>Interpretation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A7D9A">
              <w:rPr>
                <w:rFonts w:ascii="Arial Narrow" w:hAnsi="Arial Narrow"/>
                <w:sz w:val="20"/>
                <w:szCs w:val="20"/>
                <w:lang w:val="en-US"/>
              </w:rPr>
              <w:t>Country level indicator (Russia, Belarus, Kazakhstan, Uzbekistan, Moldova, Kyrgyzstan, Georgia, Tajikistan)</w:t>
            </w:r>
          </w:p>
        </w:tc>
      </w:tr>
    </w:tbl>
    <w:p w:rsidR="000A653C" w:rsidRPr="00EA7D9A" w:rsidRDefault="000A653C" w:rsidP="000A653C">
      <w:pPr>
        <w:spacing w:before="240" w:after="240" w:line="240" w:lineRule="auto"/>
        <w:rPr>
          <w:rFonts w:ascii="Arial Narrow" w:hAnsi="Arial Narrow"/>
          <w:b/>
          <w:lang w:val="en-US"/>
        </w:rPr>
      </w:pPr>
    </w:p>
    <w:p w:rsidR="000A653C" w:rsidRPr="00EA7D9A" w:rsidRDefault="000A653C" w:rsidP="000A653C">
      <w:pPr>
        <w:pStyle w:val="2"/>
        <w:rPr>
          <w:rFonts w:ascii="Arial Narrow" w:hAnsi="Arial Narrow"/>
          <w:lang w:val="en-US"/>
        </w:rPr>
      </w:pPr>
      <w:bookmarkStart w:id="6" w:name="_84uba79ceg0o" w:colFirst="0" w:colLast="0"/>
      <w:bookmarkStart w:id="7" w:name="_Toc28083805"/>
      <w:bookmarkEnd w:id="6"/>
      <w:r w:rsidRPr="00EA7D9A">
        <w:rPr>
          <w:rFonts w:ascii="Arial Narrow" w:hAnsi="Arial Narrow"/>
          <w:lang w:val="en-US"/>
        </w:rPr>
        <w:t>3. Indicator framework</w:t>
      </w:r>
      <w:bookmarkEnd w:id="7"/>
      <w:r w:rsidRPr="00EA7D9A">
        <w:rPr>
          <w:rFonts w:ascii="Arial Narrow" w:hAnsi="Arial Narrow"/>
          <w:lang w:val="en-US"/>
        </w:rPr>
        <w:t xml:space="preserve"> </w:t>
      </w:r>
    </w:p>
    <w:p w:rsidR="000A653C" w:rsidRPr="00EA7D9A" w:rsidRDefault="000A653C" w:rsidP="000A653C">
      <w:pPr>
        <w:rPr>
          <w:rFonts w:ascii="Arial Narrow" w:hAnsi="Arial Narrow"/>
          <w:highlight w:val="red"/>
          <w:u w:val="single"/>
          <w:lang w:val="en-US"/>
        </w:rPr>
      </w:pPr>
      <w:r w:rsidRPr="00EA7D9A">
        <w:rPr>
          <w:rFonts w:ascii="Arial Narrow" w:hAnsi="Arial Narrow"/>
          <w:i/>
          <w:u w:val="single"/>
          <w:lang w:val="en-US"/>
        </w:rPr>
        <w:t>Please see the table Annex D-1</w:t>
      </w:r>
    </w:p>
    <w:p w:rsidR="000A653C" w:rsidRPr="00EA7D9A" w:rsidRDefault="000A653C" w:rsidP="000A653C">
      <w:pPr>
        <w:pStyle w:val="2"/>
        <w:rPr>
          <w:rFonts w:ascii="Arial Narrow" w:hAnsi="Arial Narrow"/>
          <w:lang w:val="en-US"/>
        </w:rPr>
      </w:pPr>
      <w:bookmarkStart w:id="8" w:name="_ezyrin3tjiig" w:colFirst="0" w:colLast="0"/>
      <w:bookmarkStart w:id="9" w:name="_Toc28083806"/>
      <w:bookmarkEnd w:id="8"/>
      <w:r w:rsidRPr="00EA7D9A">
        <w:rPr>
          <w:rFonts w:ascii="Arial Narrow" w:hAnsi="Arial Narrow"/>
          <w:lang w:val="en-US"/>
        </w:rPr>
        <w:t>4. Data Quality</w:t>
      </w:r>
      <w:bookmarkEnd w:id="9"/>
    </w:p>
    <w:p w:rsidR="000A653C" w:rsidRPr="00EA7D9A" w:rsidRDefault="000A653C" w:rsidP="000A653C">
      <w:pPr>
        <w:spacing w:line="240" w:lineRule="auto"/>
        <w:jc w:val="both"/>
        <w:rPr>
          <w:rFonts w:ascii="Arial Narrow" w:hAnsi="Arial Narrow"/>
          <w:b/>
          <w:lang w:val="en-US"/>
        </w:rPr>
      </w:pPr>
      <w:r w:rsidRPr="00EA7D9A">
        <w:rPr>
          <w:rFonts w:ascii="Arial Narrow" w:hAnsi="Arial Narrow"/>
          <w:b/>
          <w:lang w:val="en-US"/>
        </w:rPr>
        <w:t>Identify and manage potential risks to the quality of data collected ensuring that information used is of utmost importance to Program success</w:t>
      </w:r>
    </w:p>
    <w:p w:rsidR="000A653C" w:rsidRPr="00EA7D9A" w:rsidRDefault="000A653C" w:rsidP="000A653C">
      <w:pPr>
        <w:jc w:val="both"/>
        <w:rPr>
          <w:rFonts w:ascii="Arial Narrow" w:hAnsi="Arial Narrow"/>
          <w:b/>
          <w:lang w:val="en-US"/>
        </w:rPr>
      </w:pPr>
      <w:r w:rsidRPr="00EA7D9A">
        <w:rPr>
          <w:rFonts w:ascii="Arial Narrow" w:hAnsi="Arial Narrow"/>
          <w:i/>
          <w:lang w:val="en-US"/>
        </w:rPr>
        <w:t xml:space="preserve">Please fill in the table below </w:t>
      </w:r>
    </w:p>
    <w:p w:rsidR="000A653C" w:rsidRPr="00EA7D9A" w:rsidRDefault="000A653C" w:rsidP="000A653C">
      <w:pPr>
        <w:spacing w:line="240" w:lineRule="auto"/>
        <w:rPr>
          <w:rFonts w:ascii="Arial Narrow" w:hAnsi="Arial Narrow"/>
          <w:b/>
          <w:lang w:val="en-US"/>
        </w:rPr>
      </w:pP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2670"/>
        <w:gridCol w:w="1980"/>
        <w:gridCol w:w="1590"/>
      </w:tblGrid>
      <w:tr w:rsidR="000A653C" w:rsidRPr="00EA7D9A" w:rsidTr="005F0F61">
        <w:trPr>
          <w:trHeight w:val="1560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EA7D9A">
              <w:rPr>
                <w:rFonts w:ascii="Arial Narrow" w:hAnsi="Arial Narrow"/>
                <w:b/>
                <w:lang w:val="en-US"/>
              </w:rPr>
              <w:t>Name of Indicator</w:t>
            </w:r>
          </w:p>
        </w:tc>
        <w:tc>
          <w:tcPr>
            <w:tcW w:w="2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EA7D9A">
              <w:rPr>
                <w:rFonts w:ascii="Arial Narrow" w:hAnsi="Arial Narrow"/>
                <w:b/>
                <w:lang w:val="en-US"/>
              </w:rPr>
              <w:t>Data Quality Issues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EA7D9A">
              <w:rPr>
                <w:rFonts w:ascii="Arial Narrow" w:hAnsi="Arial Narrow"/>
                <w:b/>
                <w:lang w:val="en-US"/>
              </w:rPr>
              <w:t>Actions Taken or Planned to Address this Limitation</w:t>
            </w:r>
          </w:p>
        </w:tc>
        <w:tc>
          <w:tcPr>
            <w:tcW w:w="1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center"/>
              <w:rPr>
                <w:rFonts w:ascii="Arial Narrow" w:hAnsi="Arial Narrow"/>
                <w:b/>
                <w:lang w:val="en-US"/>
              </w:rPr>
            </w:pPr>
            <w:r w:rsidRPr="00EA7D9A">
              <w:rPr>
                <w:rFonts w:ascii="Arial Narrow" w:hAnsi="Arial Narrow"/>
                <w:b/>
                <w:lang w:val="en-US"/>
              </w:rPr>
              <w:t>Additional Comments</w:t>
            </w:r>
          </w:p>
        </w:tc>
      </w:tr>
      <w:tr w:rsidR="000A653C" w:rsidRPr="00EA7D9A" w:rsidTr="005F0F61">
        <w:trPr>
          <w:trHeight w:val="2765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i/>
                <w:lang w:val="en-US"/>
              </w:rPr>
            </w:pPr>
            <w:r w:rsidRPr="00EA7D9A">
              <w:rPr>
                <w:rFonts w:ascii="Arial Narrow" w:hAnsi="Arial Narrow"/>
                <w:i/>
                <w:lang w:val="en-US"/>
              </w:rPr>
              <w:t>(list by indicator)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i/>
                <w:lang w:val="en-US"/>
              </w:rPr>
            </w:pPr>
            <w:r w:rsidRPr="00EA7D9A">
              <w:rPr>
                <w:rFonts w:ascii="Arial Narrow" w:hAnsi="Arial Narrow"/>
                <w:i/>
                <w:lang w:val="en-US"/>
              </w:rPr>
              <w:t xml:space="preserve">List possible risks to the quality of data collected.  Consider five criteria for data quality: validity, reliability, integrity, precision and timeliness.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i/>
                <w:lang w:val="en-US"/>
              </w:rPr>
            </w:pPr>
            <w:r w:rsidRPr="00EA7D9A">
              <w:rPr>
                <w:rFonts w:ascii="Arial Narrow" w:hAnsi="Arial Narrow"/>
                <w:i/>
                <w:lang w:val="en-US"/>
              </w:rPr>
              <w:t>How will the identified possible risks to the quality of data be managed?</w:t>
            </w:r>
          </w:p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i/>
                <w:lang w:val="en-US"/>
              </w:rPr>
            </w:pPr>
            <w:r w:rsidRPr="00EA7D9A">
              <w:rPr>
                <w:rFonts w:ascii="Arial Narrow" w:hAnsi="Arial Narrow"/>
                <w:i/>
                <w:lang w:val="en-US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i/>
                <w:lang w:val="en-US"/>
              </w:rPr>
            </w:pPr>
            <w:r w:rsidRPr="00EA7D9A">
              <w:rPr>
                <w:rFonts w:ascii="Arial Narrow" w:hAnsi="Arial Narrow"/>
                <w:i/>
                <w:lang w:val="en-US"/>
              </w:rPr>
              <w:t xml:space="preserve"> </w:t>
            </w:r>
          </w:p>
        </w:tc>
      </w:tr>
      <w:tr w:rsidR="000A653C" w:rsidRPr="00EA7D9A" w:rsidTr="005F0F61">
        <w:trPr>
          <w:trHeight w:val="1175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i/>
                <w:lang w:val="en-US"/>
              </w:rPr>
            </w:pPr>
            <w:r w:rsidRPr="00EA7D9A">
              <w:rPr>
                <w:rFonts w:ascii="Arial Narrow" w:hAnsi="Arial Narrow"/>
                <w:i/>
                <w:lang w:val="en-US"/>
              </w:rPr>
              <w:t>Absolute increase in national funding for HIV activities targeting KPs from the national budgets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i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b/>
                <w:lang w:val="en-US"/>
              </w:rPr>
            </w:pPr>
          </w:p>
        </w:tc>
      </w:tr>
      <w:tr w:rsidR="000A653C" w:rsidRPr="00EA7D9A" w:rsidTr="005F0F61">
        <w:trPr>
          <w:trHeight w:val="1175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i/>
                <w:lang w:val="en-US"/>
              </w:rPr>
            </w:pPr>
            <w:r w:rsidRPr="00EA7D9A">
              <w:rPr>
                <w:rFonts w:ascii="Arial Narrow" w:hAnsi="Arial Narrow"/>
                <w:i/>
                <w:lang w:val="en-US"/>
              </w:rPr>
              <w:t>State procurement mechanisms to ensure that the state is able to procure KP-related services from NGOs during/after the transition from GF-supported services are developed/ updated and exist.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jc w:val="both"/>
              <w:rPr>
                <w:rFonts w:ascii="Arial Narrow" w:hAnsi="Arial Narrow"/>
                <w:i/>
                <w:lang w:val="en-US"/>
              </w:rPr>
            </w:pPr>
            <w:r w:rsidRPr="00EA7D9A">
              <w:rPr>
                <w:rFonts w:ascii="Arial Narrow" w:hAnsi="Arial Narrow"/>
                <w:i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rPr>
                <w:rFonts w:ascii="Arial Narrow" w:hAnsi="Arial Narrow"/>
                <w:b/>
                <w:lang w:val="en-US"/>
              </w:rPr>
            </w:pPr>
            <w:r w:rsidRPr="00EA7D9A">
              <w:rPr>
                <w:rFonts w:ascii="Arial Narrow" w:hAnsi="Arial Narrow"/>
                <w:b/>
                <w:lang w:val="en-US"/>
              </w:rPr>
              <w:t xml:space="preserve"> </w:t>
            </w:r>
          </w:p>
          <w:p w:rsidR="000A653C" w:rsidRPr="00EA7D9A" w:rsidRDefault="000A653C" w:rsidP="005F0F61">
            <w:pPr>
              <w:spacing w:before="240" w:after="240" w:line="240" w:lineRule="auto"/>
              <w:rPr>
                <w:rFonts w:ascii="Arial Narrow" w:hAnsi="Arial Narrow"/>
                <w:b/>
                <w:lang w:val="en-US"/>
              </w:rPr>
            </w:pPr>
            <w:r w:rsidRPr="00EA7D9A">
              <w:rPr>
                <w:rFonts w:ascii="Arial Narrow" w:hAnsi="Arial Narrow"/>
                <w:b/>
                <w:lang w:val="en-US"/>
              </w:rPr>
              <w:t xml:space="preserve">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53C" w:rsidRPr="00EA7D9A" w:rsidRDefault="000A653C" w:rsidP="005F0F61">
            <w:pPr>
              <w:spacing w:before="240" w:after="240" w:line="240" w:lineRule="auto"/>
              <w:rPr>
                <w:rFonts w:ascii="Arial Narrow" w:hAnsi="Arial Narrow"/>
                <w:b/>
                <w:lang w:val="en-US"/>
              </w:rPr>
            </w:pPr>
            <w:r w:rsidRPr="00EA7D9A">
              <w:rPr>
                <w:rFonts w:ascii="Arial Narrow" w:hAnsi="Arial Narrow"/>
                <w:b/>
                <w:lang w:val="en-US"/>
              </w:rPr>
              <w:t xml:space="preserve"> </w:t>
            </w:r>
          </w:p>
        </w:tc>
      </w:tr>
    </w:tbl>
    <w:p w:rsidR="000A653C" w:rsidRPr="00EA7D9A" w:rsidRDefault="000A653C">
      <w:pPr>
        <w:rPr>
          <w:rFonts w:ascii="Arial Narrow" w:hAnsi="Arial Narrow"/>
        </w:rPr>
      </w:pPr>
    </w:p>
    <w:sectPr w:rsidR="000A653C" w:rsidRPr="00EA7D9A" w:rsidSect="00990BFC">
      <w:headerReference w:type="default" r:id="rId6"/>
      <w:headerReference w:type="first" r:id="rId7"/>
      <w:pgSz w:w="11909" w:h="16834"/>
      <w:pgMar w:top="1440" w:right="1440" w:bottom="1440" w:left="1440" w:header="15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E03" w:rsidRDefault="00D60E03">
      <w:pPr>
        <w:spacing w:line="240" w:lineRule="auto"/>
      </w:pPr>
      <w:r>
        <w:separator/>
      </w:r>
    </w:p>
  </w:endnote>
  <w:endnote w:type="continuationSeparator" w:id="0">
    <w:p w:rsidR="00D60E03" w:rsidRDefault="00D60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E03" w:rsidRDefault="00D60E03">
      <w:pPr>
        <w:spacing w:line="240" w:lineRule="auto"/>
      </w:pPr>
      <w:r>
        <w:separator/>
      </w:r>
    </w:p>
  </w:footnote>
  <w:footnote w:type="continuationSeparator" w:id="0">
    <w:p w:rsidR="00D60E03" w:rsidRDefault="00D60E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BFC" w:rsidRDefault="00D60E03">
    <w:pPr>
      <w:ind w:left="-127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BFC" w:rsidRDefault="00EA7D9A" w:rsidP="00990BFC">
    <w:pPr>
      <w:pStyle w:val="a5"/>
      <w:ind w:left="-993"/>
      <w:jc w:val="both"/>
    </w:pPr>
    <w:r>
      <w:rPr>
        <w:noProof/>
        <w:lang w:val="uk-UA"/>
      </w:rPr>
      <w:drawing>
        <wp:inline distT="114300" distB="114300" distL="114300" distR="114300" wp14:anchorId="2E3DEB06" wp14:editId="186E1FFF">
          <wp:extent cx="5733415" cy="1037876"/>
          <wp:effectExtent l="0" t="0" r="635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10378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3C"/>
    <w:rsid w:val="000A653C"/>
    <w:rsid w:val="00201C87"/>
    <w:rsid w:val="00D60E03"/>
    <w:rsid w:val="00E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83A91-07FC-4EC4-ADE2-65E901F1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53C"/>
    <w:pPr>
      <w:spacing w:after="0" w:line="276" w:lineRule="auto"/>
    </w:pPr>
    <w:rPr>
      <w:rFonts w:ascii="Arial" w:eastAsia="Arial" w:hAnsi="Arial" w:cs="Arial"/>
      <w:lang w:val="uk" w:eastAsia="uk-UA"/>
    </w:rPr>
  </w:style>
  <w:style w:type="paragraph" w:styleId="1">
    <w:name w:val="heading 1"/>
    <w:basedOn w:val="a"/>
    <w:next w:val="a"/>
    <w:link w:val="10"/>
    <w:uiPriority w:val="9"/>
    <w:qFormat/>
    <w:rsid w:val="000A653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A653C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53C"/>
    <w:pPr>
      <w:spacing w:line="240" w:lineRule="auto"/>
    </w:pPr>
    <w:rPr>
      <w:rFonts w:ascii="Segoe UI" w:eastAsiaTheme="minorHAnsi" w:hAnsi="Segoe UI" w:cs="Segoe UI"/>
      <w:sz w:val="18"/>
      <w:szCs w:val="18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A653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A653C"/>
    <w:rPr>
      <w:rFonts w:ascii="Arial" w:eastAsia="Arial" w:hAnsi="Arial" w:cs="Arial"/>
      <w:sz w:val="40"/>
      <w:szCs w:val="40"/>
      <w:lang w:val="uk" w:eastAsia="uk-UA"/>
    </w:rPr>
  </w:style>
  <w:style w:type="character" w:customStyle="1" w:styleId="20">
    <w:name w:val="Заголовок 2 Знак"/>
    <w:basedOn w:val="a0"/>
    <w:link w:val="2"/>
    <w:uiPriority w:val="9"/>
    <w:rsid w:val="000A653C"/>
    <w:rPr>
      <w:rFonts w:ascii="Arial" w:eastAsia="Arial" w:hAnsi="Arial" w:cs="Arial"/>
      <w:sz w:val="32"/>
      <w:szCs w:val="32"/>
      <w:lang w:val="uk" w:eastAsia="uk-UA"/>
    </w:rPr>
  </w:style>
  <w:style w:type="paragraph" w:styleId="a5">
    <w:name w:val="header"/>
    <w:basedOn w:val="a"/>
    <w:link w:val="a6"/>
    <w:uiPriority w:val="99"/>
    <w:unhideWhenUsed/>
    <w:rsid w:val="000A653C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53C"/>
    <w:rPr>
      <w:rFonts w:ascii="Arial" w:eastAsia="Arial" w:hAnsi="Arial" w:cs="Arial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2304</Words>
  <Characters>1314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Ковальчук Ярина</dc:creator>
  <cp:keywords/>
  <dc:description/>
  <cp:lastModifiedBy>Чечоткіна Юлія</cp:lastModifiedBy>
  <cp:revision>2</cp:revision>
  <dcterms:created xsi:type="dcterms:W3CDTF">2019-12-24T15:07:00Z</dcterms:created>
  <dcterms:modified xsi:type="dcterms:W3CDTF">2019-12-24T15:07:00Z</dcterms:modified>
</cp:coreProperties>
</file>